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CA" w:rsidRPr="00785C87" w:rsidRDefault="00C25BD0" w:rsidP="00C25BD0">
      <w:pPr>
        <w:spacing w:after="0"/>
        <w:rPr>
          <w:rFonts w:ascii="Century Gothic" w:hAnsi="Century Gothic"/>
        </w:rPr>
      </w:pPr>
      <w:r w:rsidRPr="00785C87">
        <w:rPr>
          <w:rFonts w:ascii="Century Gothic" w:hAnsi="Century Gothic"/>
        </w:rPr>
        <w:t>Al  Sindaco di Saronno</w:t>
      </w: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  <w:r w:rsidRPr="00785C87">
        <w:rPr>
          <w:rFonts w:ascii="Century Gothic" w:hAnsi="Century Gothic"/>
        </w:rPr>
        <w:t>Sig. Alessandro Fagioli</w:t>
      </w: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  <w:r w:rsidRPr="00785C87">
        <w:rPr>
          <w:rFonts w:ascii="Century Gothic" w:hAnsi="Century Gothic"/>
        </w:rPr>
        <w:t>Al Presidente del Consiglio Comunale di Saronno</w:t>
      </w: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  <w:r w:rsidRPr="00785C87">
        <w:rPr>
          <w:rFonts w:ascii="Century Gothic" w:hAnsi="Century Gothic"/>
        </w:rPr>
        <w:t>Sig. Raffaele Fagioli</w:t>
      </w: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</w:p>
    <w:p w:rsidR="00C25BD0" w:rsidRPr="00785C87" w:rsidRDefault="00C25BD0" w:rsidP="00C25BD0">
      <w:pPr>
        <w:spacing w:after="0"/>
        <w:jc w:val="center"/>
        <w:rPr>
          <w:rFonts w:ascii="Century Gothic" w:hAnsi="Century Gothic"/>
        </w:rPr>
      </w:pPr>
    </w:p>
    <w:p w:rsidR="00C25BD0" w:rsidRPr="00785C87" w:rsidRDefault="005D318B" w:rsidP="00C25BD0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MOZIONE COMUNALE DEL 24. 11. 2015</w:t>
      </w:r>
    </w:p>
    <w:p w:rsidR="00C25BD0" w:rsidRPr="00785C87" w:rsidRDefault="00C25BD0" w:rsidP="00C25BD0">
      <w:pPr>
        <w:spacing w:after="0"/>
        <w:rPr>
          <w:rFonts w:ascii="Century Gothic" w:hAnsi="Century Gothic"/>
        </w:rPr>
      </w:pPr>
    </w:p>
    <w:p w:rsidR="00C25BD0" w:rsidRDefault="000E7898" w:rsidP="00C25BD0">
      <w:pPr>
        <w:spacing w:after="0"/>
        <w:rPr>
          <w:rFonts w:ascii="Century Gothic" w:hAnsi="Century Gothic"/>
        </w:rPr>
      </w:pPr>
      <w:r w:rsidRPr="00785C87">
        <w:rPr>
          <w:rFonts w:ascii="Century Gothic" w:hAnsi="Century Gothic"/>
        </w:rPr>
        <w:t>Premesso che:</w:t>
      </w:r>
    </w:p>
    <w:p w:rsidR="00A01D83" w:rsidRPr="00785C87" w:rsidRDefault="00A01D83" w:rsidP="00C25BD0">
      <w:pPr>
        <w:spacing w:after="0"/>
        <w:rPr>
          <w:rFonts w:ascii="Century Gothic" w:hAnsi="Century Gothic"/>
        </w:rPr>
      </w:pPr>
    </w:p>
    <w:p w:rsidR="00AE378F" w:rsidRDefault="000E7898" w:rsidP="00E61D0D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785C87">
        <w:rPr>
          <w:rFonts w:ascii="Century Gothic" w:hAnsi="Century Gothic"/>
        </w:rPr>
        <w:t>La Repubblica riconosce i diritti della famiglia come società naturale fondata sul matrimonio (</w:t>
      </w:r>
      <w:r w:rsidR="00AE378F" w:rsidRPr="00785C87">
        <w:rPr>
          <w:rFonts w:ascii="Century Gothic" w:hAnsi="Century Gothic"/>
        </w:rPr>
        <w:t>Cost. art. 29);</w:t>
      </w:r>
    </w:p>
    <w:p w:rsidR="004952FA" w:rsidRPr="004952FA" w:rsidRDefault="004952FA" w:rsidP="004952FA">
      <w:pPr>
        <w:pStyle w:val="Paragrafoelenco"/>
        <w:spacing w:after="0"/>
        <w:jc w:val="both"/>
        <w:rPr>
          <w:rFonts w:ascii="Century Gothic" w:hAnsi="Century Gothic"/>
          <w:sz w:val="16"/>
          <w:szCs w:val="16"/>
        </w:rPr>
      </w:pPr>
    </w:p>
    <w:p w:rsidR="000E7898" w:rsidRDefault="00A01D83" w:rsidP="00E61D0D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alla famiglia compete </w:t>
      </w:r>
      <w:r w:rsidR="00BB4BC8">
        <w:rPr>
          <w:rFonts w:ascii="Century Gothic" w:hAnsi="Century Gothic"/>
        </w:rPr>
        <w:t>il diritto-dovere dell’educazione e dell’istruzione della prole, come da a</w:t>
      </w:r>
      <w:r w:rsidR="00BB4BC8" w:rsidRPr="001E5464">
        <w:rPr>
          <w:rFonts w:ascii="Century Gothic" w:hAnsi="Century Gothic"/>
        </w:rPr>
        <w:t>rt. 30: ”</w:t>
      </w:r>
      <w:r w:rsidR="00BB4BC8" w:rsidRPr="00BB4BC8">
        <w:rPr>
          <w:rFonts w:ascii="Century Gothic" w:hAnsi="Century Gothic"/>
        </w:rPr>
        <w:t>È dovere e diritto dei genitori mantenere, istruire ed educare i figli, anche se nati fuori del matrimonio</w:t>
      </w:r>
      <w:r w:rsidR="00BB4BC8" w:rsidRPr="001E5464">
        <w:rPr>
          <w:rFonts w:ascii="Century Gothic" w:hAnsi="Century Gothic"/>
        </w:rPr>
        <w:t>”</w:t>
      </w:r>
      <w:r w:rsidR="00BB4BC8">
        <w:rPr>
          <w:rFonts w:ascii="Century Gothic" w:hAnsi="Century Gothic"/>
        </w:rPr>
        <w:t>;</w:t>
      </w:r>
    </w:p>
    <w:p w:rsidR="004952FA" w:rsidRPr="004952FA" w:rsidRDefault="004952FA" w:rsidP="004952FA">
      <w:pPr>
        <w:pStyle w:val="Paragrafoelenco"/>
        <w:rPr>
          <w:rFonts w:ascii="Century Gothic" w:hAnsi="Century Gothic"/>
          <w:sz w:val="16"/>
          <w:szCs w:val="16"/>
        </w:rPr>
      </w:pPr>
    </w:p>
    <w:p w:rsidR="00246588" w:rsidRPr="00D91E0A" w:rsidRDefault="00246588" w:rsidP="00E61D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46588">
        <w:rPr>
          <w:rFonts w:ascii="Century Gothic" w:hAnsi="Century Gothic"/>
        </w:rPr>
        <w:t>Tale diritto</w:t>
      </w:r>
      <w:r w:rsidR="00925702">
        <w:rPr>
          <w:rFonts w:ascii="Century Gothic" w:hAnsi="Century Gothic"/>
        </w:rPr>
        <w:t>-</w:t>
      </w:r>
      <w:r w:rsidRPr="00246588">
        <w:rPr>
          <w:rFonts w:ascii="Century Gothic" w:hAnsi="Century Gothic"/>
        </w:rPr>
        <w:t>dovere si rinviene tra l’altro</w:t>
      </w:r>
      <w:r w:rsidR="00AE4521">
        <w:rPr>
          <w:rFonts w:ascii="Century Gothic" w:hAnsi="Century Gothic"/>
        </w:rPr>
        <w:t>, all’interno della legislazione scolastica,</w:t>
      </w:r>
      <w:r w:rsidRPr="00246588">
        <w:rPr>
          <w:rFonts w:ascii="Century Gothic" w:hAnsi="Century Gothic"/>
        </w:rPr>
        <w:t xml:space="preserve"> ne</w:t>
      </w:r>
      <w:r>
        <w:rPr>
          <w:rFonts w:ascii="Century Gothic" w:hAnsi="Century Gothic"/>
        </w:rPr>
        <w:t>l</w:t>
      </w:r>
      <w:r w:rsidRPr="00246588">
        <w:rPr>
          <w:rFonts w:ascii="Century Gothic" w:hAnsi="Century Gothic"/>
          <w:b/>
        </w:rPr>
        <w:t xml:space="preserve"> </w:t>
      </w:r>
      <w:r w:rsidRPr="00246588">
        <w:rPr>
          <w:rStyle w:val="titolo24"/>
          <w:rFonts w:ascii="Century Gothic" w:hAnsi="Century Gothic" w:cs="Arial"/>
          <w:b w:val="0"/>
          <w:color w:val="000000"/>
          <w:sz w:val="22"/>
          <w:szCs w:val="22"/>
        </w:rPr>
        <w:t xml:space="preserve">D.P.R. n. 235 del 21 novembre 2007 art. 3 </w:t>
      </w:r>
      <w:proofErr w:type="spellStart"/>
      <w:r w:rsidRPr="00246588">
        <w:rPr>
          <w:rStyle w:val="titolo24"/>
          <w:rFonts w:ascii="Century Gothic" w:hAnsi="Century Gothic" w:cs="Arial"/>
          <w:b w:val="0"/>
          <w:color w:val="000000"/>
          <w:sz w:val="22"/>
          <w:szCs w:val="22"/>
        </w:rPr>
        <w:t>co</w:t>
      </w:r>
      <w:proofErr w:type="spellEnd"/>
      <w:r w:rsidRPr="00246588">
        <w:rPr>
          <w:rStyle w:val="titolo24"/>
          <w:rFonts w:ascii="Century Gothic" w:hAnsi="Century Gothic" w:cs="Arial"/>
          <w:b w:val="0"/>
          <w:color w:val="000000"/>
          <w:sz w:val="22"/>
          <w:szCs w:val="22"/>
        </w:rPr>
        <w:t>. 1(“</w:t>
      </w:r>
      <w:r w:rsidRPr="00895C3E">
        <w:rPr>
          <w:rFonts w:ascii="Century Gothic" w:hAnsi="Century Gothic" w:cs="Times New Roman"/>
          <w:i/>
        </w:rPr>
        <w:t>Contestualmente all'iscrizione alla singola istituzione scolastica, e' richiesta la sottoscrizione da parte dei genitori e degli studenti di un Patto educativo di corresponsabilità, finalizzato a definire in maniera dettagliata e condivisa diritti e doveri nel rapporto tra istituzione scolastica autonoma</w:t>
      </w:r>
      <w:r w:rsidR="00711AEA">
        <w:rPr>
          <w:rFonts w:ascii="Century Gothic" w:hAnsi="Century Gothic" w:cs="Times New Roman"/>
          <w:i/>
        </w:rPr>
        <w:t>, studenti e famiglie</w:t>
      </w:r>
      <w:r w:rsidRPr="00246588">
        <w:rPr>
          <w:rFonts w:ascii="Century Gothic" w:hAnsi="Century Gothic" w:cs="Times New Roman"/>
        </w:rPr>
        <w:t>”)</w:t>
      </w:r>
      <w:r w:rsidR="006368E9">
        <w:rPr>
          <w:rFonts w:ascii="Century Gothic" w:hAnsi="Century Gothic" w:cs="Times New Roman"/>
        </w:rPr>
        <w:t>;</w:t>
      </w:r>
    </w:p>
    <w:p w:rsidR="00655A91" w:rsidRDefault="00655A91" w:rsidP="006368E9">
      <w:pPr>
        <w:autoSpaceDE w:val="0"/>
        <w:autoSpaceDN w:val="0"/>
        <w:adjustRightInd w:val="0"/>
        <w:spacing w:after="0"/>
        <w:rPr>
          <w:rFonts w:ascii="Century Gothic" w:hAnsi="Century Gothic" w:cs="Times New Roman"/>
        </w:rPr>
      </w:pPr>
    </w:p>
    <w:p w:rsidR="006368E9" w:rsidRDefault="006368E9" w:rsidP="006368E9">
      <w:pPr>
        <w:autoSpaceDE w:val="0"/>
        <w:autoSpaceDN w:val="0"/>
        <w:adjustRightInd w:val="0"/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considerato che:</w:t>
      </w:r>
    </w:p>
    <w:p w:rsidR="006368E9" w:rsidRDefault="006368E9" w:rsidP="006368E9">
      <w:pPr>
        <w:autoSpaceDE w:val="0"/>
        <w:autoSpaceDN w:val="0"/>
        <w:adjustRightInd w:val="0"/>
        <w:spacing w:after="0"/>
        <w:rPr>
          <w:rFonts w:ascii="Century Gothic" w:hAnsi="Century Gothic" w:cs="Times New Roman"/>
        </w:rPr>
      </w:pPr>
    </w:p>
    <w:p w:rsidR="00925702" w:rsidRPr="004952FA" w:rsidRDefault="00925702" w:rsidP="00E61D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La legge 107 del 13 luglio 2015, comunemente </w:t>
      </w:r>
      <w:r w:rsidR="00711AEA">
        <w:rPr>
          <w:rFonts w:ascii="Century Gothic" w:hAnsi="Century Gothic" w:cs="Times New Roman"/>
        </w:rPr>
        <w:t>ri</w:t>
      </w:r>
      <w:r>
        <w:rPr>
          <w:rFonts w:ascii="Century Gothic" w:hAnsi="Century Gothic" w:cs="Times New Roman"/>
        </w:rPr>
        <w:t xml:space="preserve">chiamata come “Buona scuola” recita al comma 16: </w:t>
      </w:r>
      <w:r w:rsidR="00E61D0D" w:rsidRPr="00E61D0D">
        <w:rPr>
          <w:rFonts w:ascii="Century Gothic" w:hAnsi="Century Gothic"/>
        </w:rPr>
        <w:t>”</w:t>
      </w:r>
      <w:r w:rsidR="00E61D0D" w:rsidRPr="00E61D0D">
        <w:rPr>
          <w:rFonts w:ascii="Century Gothic" w:hAnsi="Century Gothic" w:cs="TimesNewRomanPSMT"/>
        </w:rPr>
        <w:t xml:space="preserve"> </w:t>
      </w:r>
      <w:r w:rsidR="00E61D0D" w:rsidRPr="004952FA">
        <w:rPr>
          <w:rFonts w:ascii="Century Gothic" w:hAnsi="Century Gothic" w:cs="TimesNewRomanPSMT"/>
          <w:i/>
        </w:rPr>
        <w:t>Il piano triennale dell’offerta formativa assicura l’attuazione dei principi di pari opportunità promuovendo nelle scuole di ogni ordine e grado l’educazione alla parità tra i sessi, la prevenzione della violenza di genere e di tutte le discriminazioni, al fine di informare e di sensibilizzare gli studenti, i docenti e i genitori sulle tematiche indicate dall’articolo 5, comma 2, del decreto-legge14 agosto 2013, n. 93, convertito, con modificazioni, dalla legge 15 ottobre 2013, n. 119</w:t>
      </w:r>
      <w:r w:rsidR="00E61D0D" w:rsidRPr="00E61D0D">
        <w:rPr>
          <w:rFonts w:ascii="Century Gothic" w:hAnsi="Century Gothic" w:cs="TimesNewRomanPSMT"/>
        </w:rPr>
        <w:t>”;</w:t>
      </w:r>
    </w:p>
    <w:p w:rsidR="004952FA" w:rsidRPr="004952FA" w:rsidRDefault="004952FA" w:rsidP="004952FA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16"/>
          <w:szCs w:val="16"/>
        </w:rPr>
      </w:pPr>
    </w:p>
    <w:p w:rsidR="00E61D0D" w:rsidRDefault="00E61D0D" w:rsidP="00E61D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tale testo </w:t>
      </w:r>
      <w:r w:rsidR="002A28D7">
        <w:rPr>
          <w:rFonts w:ascii="Century Gothic" w:hAnsi="Century Gothic" w:cs="Times New Roman"/>
        </w:rPr>
        <w:t>si presta</w:t>
      </w:r>
      <w:r>
        <w:rPr>
          <w:rFonts w:ascii="Century Gothic" w:hAnsi="Century Gothic" w:cs="Times New Roman"/>
        </w:rPr>
        <w:t xml:space="preserve"> di per se stesso a introdurre nelle scuole di ogni ordine e grado iniziative extracurriculari ispirate alla teoria gender;</w:t>
      </w:r>
    </w:p>
    <w:p w:rsidR="004952FA" w:rsidRPr="004952FA" w:rsidRDefault="004952FA" w:rsidP="004952FA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16"/>
          <w:szCs w:val="16"/>
        </w:rPr>
      </w:pPr>
    </w:p>
    <w:p w:rsidR="00E61D0D" w:rsidRPr="007F0E90" w:rsidRDefault="00E61D0D" w:rsidP="004952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l’articolo </w:t>
      </w:r>
      <w:r w:rsidRPr="00E61D0D">
        <w:rPr>
          <w:rFonts w:ascii="Century Gothic" w:hAnsi="Century Gothic" w:cs="TimesNewRomanPSMT"/>
        </w:rPr>
        <w:t>5, comma 2, del decreto-legge14 agosto 2013, n. 93</w:t>
      </w:r>
      <w:r>
        <w:rPr>
          <w:rFonts w:ascii="Century Gothic" w:hAnsi="Century Gothic" w:cs="TimesNewRomanPSMT"/>
        </w:rPr>
        <w:t xml:space="preserve"> ivi </w:t>
      </w:r>
      <w:r w:rsidR="004952FA">
        <w:rPr>
          <w:rFonts w:ascii="Century Gothic" w:hAnsi="Century Gothic" w:cs="TimesNewRomanPSMT"/>
        </w:rPr>
        <w:t>richiamato,</w:t>
      </w:r>
      <w:r>
        <w:rPr>
          <w:rFonts w:ascii="Century Gothic" w:hAnsi="Century Gothic" w:cs="TimesNewRomanPSMT"/>
        </w:rPr>
        <w:t xml:space="preserve"> </w:t>
      </w:r>
      <w:r w:rsidR="004952FA">
        <w:rPr>
          <w:rFonts w:ascii="Century Gothic" w:hAnsi="Century Gothic" w:cs="TimesNewRomanPSMT"/>
        </w:rPr>
        <w:t xml:space="preserve">con riferimento al </w:t>
      </w:r>
      <w:r w:rsidR="004952FA" w:rsidRPr="004952FA">
        <w:rPr>
          <w:rFonts w:ascii="Century Gothic" w:hAnsi="Century Gothic"/>
        </w:rPr>
        <w:t>“</w:t>
      </w:r>
      <w:r w:rsidR="004952FA" w:rsidRPr="004952FA">
        <w:rPr>
          <w:rFonts w:ascii="Century Gothic" w:eastAsia="Times New Roman" w:hAnsi="Century Gothic" w:cs="Courier New"/>
          <w:lang w:eastAsia="it-IT"/>
        </w:rPr>
        <w:t>Piano d'azione straordinario contro la violenza sessuale e di genere</w:t>
      </w:r>
      <w:r w:rsidR="004952FA" w:rsidRPr="004952FA">
        <w:rPr>
          <w:rFonts w:ascii="Century Gothic" w:hAnsi="Century Gothic"/>
        </w:rPr>
        <w:t xml:space="preserve">” </w:t>
      </w:r>
      <w:r w:rsidR="004952FA">
        <w:rPr>
          <w:rFonts w:ascii="Century Gothic" w:hAnsi="Century Gothic" w:cs="TimesNewRomanPSMT"/>
        </w:rPr>
        <w:t>dichiara fra le altre la seguente finalità</w:t>
      </w:r>
      <w:r w:rsidRPr="004952FA">
        <w:rPr>
          <w:rFonts w:ascii="Century Gothic" w:hAnsi="Century Gothic" w:cs="TimesNewRomanPSMT"/>
        </w:rPr>
        <w:t xml:space="preserve">: </w:t>
      </w:r>
      <w:r w:rsidR="004952FA">
        <w:rPr>
          <w:rFonts w:ascii="Century Gothic" w:hAnsi="Century Gothic" w:cs="TimesNewRomanPSMT"/>
        </w:rPr>
        <w:t xml:space="preserve">“(…) </w:t>
      </w:r>
      <w:r w:rsidR="004952FA" w:rsidRPr="004952FA">
        <w:rPr>
          <w:rFonts w:ascii="Century Gothic" w:eastAsia="Times New Roman" w:hAnsi="Century Gothic" w:cs="Courier New"/>
          <w:i/>
          <w:lang w:eastAsia="it-IT"/>
        </w:rPr>
        <w:t xml:space="preserve">promuovere l'educazione alla relazione e </w:t>
      </w:r>
      <w:r w:rsidR="004952FA" w:rsidRPr="004952FA">
        <w:rPr>
          <w:rFonts w:ascii="Century Gothic" w:eastAsia="Times New Roman" w:hAnsi="Century Gothic" w:cs="Courier New"/>
          <w:b/>
          <w:i/>
          <w:u w:val="single"/>
          <w:lang w:eastAsia="it-IT"/>
        </w:rPr>
        <w:t>contro la violenza  e la discriminazione di genere</w:t>
      </w:r>
      <w:r w:rsidR="004952FA" w:rsidRPr="004952FA">
        <w:rPr>
          <w:rFonts w:ascii="Century Gothic" w:eastAsia="Times New Roman" w:hAnsi="Century Gothic" w:cs="Courier New"/>
          <w:i/>
          <w:lang w:eastAsia="it-IT"/>
        </w:rPr>
        <w:t xml:space="preserve">  nell'ambito  dei  programmi  scolastici delle scuole di ogni ordine  e  grado,  al  fine  di  sensibilizzare,</w:t>
      </w:r>
      <w:r w:rsidR="007F0E90">
        <w:rPr>
          <w:rFonts w:ascii="Century Gothic" w:eastAsia="Times New Roman" w:hAnsi="Century Gothic" w:cs="Courier New"/>
          <w:i/>
          <w:lang w:eastAsia="it-IT"/>
        </w:rPr>
        <w:t xml:space="preserve"> </w:t>
      </w:r>
      <w:r w:rsidR="004952FA" w:rsidRPr="004952FA">
        <w:rPr>
          <w:rFonts w:ascii="Century Gothic" w:eastAsia="Times New Roman" w:hAnsi="Century Gothic" w:cs="Courier New"/>
          <w:i/>
          <w:lang w:eastAsia="it-IT"/>
        </w:rPr>
        <w:t xml:space="preserve">informare, formare gli studenti e prevenire la violenza nei confronti delle  donne  e  </w:t>
      </w:r>
      <w:r w:rsidR="004952FA" w:rsidRPr="004952FA">
        <w:rPr>
          <w:rFonts w:ascii="Century Gothic" w:eastAsia="Times New Roman" w:hAnsi="Century Gothic" w:cs="Courier New"/>
          <w:b/>
          <w:i/>
          <w:u w:val="single"/>
          <w:lang w:eastAsia="it-IT"/>
        </w:rPr>
        <w:t>la  discriminazione  di  genere,  anche   attraverso un'adeguata valorizzazione della tematica nei libri di testo</w:t>
      </w:r>
      <w:r w:rsidR="004952FA" w:rsidRPr="004952FA">
        <w:rPr>
          <w:rFonts w:ascii="Century Gothic" w:eastAsia="Times New Roman" w:hAnsi="Century Gothic" w:cs="Courier New"/>
          <w:lang w:eastAsia="it-IT"/>
        </w:rPr>
        <w:t>”</w:t>
      </w:r>
      <w:r w:rsidR="004952FA">
        <w:rPr>
          <w:rFonts w:ascii="Century Gothic" w:eastAsia="Times New Roman" w:hAnsi="Century Gothic" w:cs="Courier New"/>
          <w:lang w:eastAsia="it-IT"/>
        </w:rPr>
        <w:t xml:space="preserve"> (sottolineature dell’esten</w:t>
      </w:r>
      <w:r w:rsidR="009E1B33">
        <w:rPr>
          <w:rFonts w:ascii="Century Gothic" w:eastAsia="Times New Roman" w:hAnsi="Century Gothic" w:cs="Courier New"/>
          <w:lang w:eastAsia="it-IT"/>
        </w:rPr>
        <w:t>s</w:t>
      </w:r>
      <w:r w:rsidR="004952FA">
        <w:rPr>
          <w:rFonts w:ascii="Century Gothic" w:eastAsia="Times New Roman" w:hAnsi="Century Gothic" w:cs="Courier New"/>
          <w:lang w:eastAsia="it-IT"/>
        </w:rPr>
        <w:t>ore);</w:t>
      </w:r>
    </w:p>
    <w:p w:rsidR="007F0E90" w:rsidRPr="004952FA" w:rsidRDefault="007F0E90" w:rsidP="004952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anche</w:t>
      </w:r>
      <w:r w:rsidR="00D91E0A">
        <w:rPr>
          <w:rFonts w:ascii="Century Gothic" w:hAnsi="Century Gothic" w:cs="Times New Roman"/>
        </w:rPr>
        <w:t xml:space="preserve"> i segnalati passaggi testuali suscitano allarme</w:t>
      </w:r>
      <w:r>
        <w:rPr>
          <w:rFonts w:ascii="Century Gothic" w:hAnsi="Century Gothic" w:cs="Times New Roman"/>
        </w:rPr>
        <w:t xml:space="preserve"> </w:t>
      </w:r>
      <w:r w:rsidR="00D91E0A">
        <w:rPr>
          <w:rFonts w:ascii="Century Gothic" w:hAnsi="Century Gothic" w:cs="Times New Roman"/>
        </w:rPr>
        <w:t xml:space="preserve">in ordine a </w:t>
      </w:r>
      <w:r w:rsidR="00E45A58">
        <w:rPr>
          <w:rFonts w:ascii="Century Gothic" w:hAnsi="Century Gothic" w:cs="Times New Roman"/>
        </w:rPr>
        <w:t xml:space="preserve">possibili </w:t>
      </w:r>
      <w:r w:rsidR="00D91E0A">
        <w:rPr>
          <w:rFonts w:ascii="Century Gothic" w:hAnsi="Century Gothic" w:cs="Times New Roman"/>
        </w:rPr>
        <w:t>iniziative extracurriculari parimenti ispirate alla teoria gender;</w:t>
      </w:r>
    </w:p>
    <w:p w:rsidR="004952FA" w:rsidRPr="009E1B33" w:rsidRDefault="004952FA" w:rsidP="004952FA">
      <w:pPr>
        <w:pStyle w:val="Paragrafoelenco"/>
        <w:rPr>
          <w:rFonts w:ascii="Century Gothic" w:hAnsi="Century Gothic" w:cs="Times New Roman"/>
          <w:sz w:val="16"/>
          <w:szCs w:val="16"/>
        </w:rPr>
      </w:pPr>
    </w:p>
    <w:p w:rsidR="002529C7" w:rsidRPr="002529C7" w:rsidRDefault="004952FA" w:rsidP="004952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 w:rsidRPr="002529C7">
        <w:rPr>
          <w:rFonts w:ascii="Century Gothic" w:hAnsi="Century Gothic" w:cs="Times New Roman"/>
        </w:rPr>
        <w:t xml:space="preserve">La Circolare del MIUR </w:t>
      </w:r>
      <w:r w:rsidR="00D91E0A" w:rsidRPr="002529C7">
        <w:rPr>
          <w:rFonts w:ascii="Century Gothic" w:hAnsi="Century Gothic" w:cs="Times New Roman"/>
        </w:rPr>
        <w:t xml:space="preserve">n. 1972 </w:t>
      </w:r>
      <w:r w:rsidRPr="002529C7">
        <w:rPr>
          <w:rFonts w:ascii="Century Gothic" w:hAnsi="Century Gothic" w:cs="Times New Roman"/>
        </w:rPr>
        <w:t xml:space="preserve"> del </w:t>
      </w:r>
      <w:r w:rsidRPr="002529C7">
        <w:rPr>
          <w:rFonts w:ascii="Century Gothic" w:hAnsi="Century Gothic"/>
        </w:rPr>
        <w:t>15.09.2015</w:t>
      </w:r>
      <w:r w:rsidR="00D91E0A" w:rsidRPr="002529C7">
        <w:rPr>
          <w:rFonts w:ascii="Century Gothic" w:hAnsi="Century Gothic"/>
        </w:rPr>
        <w:t>, emanata, come da oggetto, per fornire “Chiarimenti e riferimenti normativi a suppor</w:t>
      </w:r>
      <w:r w:rsidR="0055275A">
        <w:rPr>
          <w:rFonts w:ascii="Century Gothic" w:hAnsi="Century Gothic"/>
        </w:rPr>
        <w:t>to dell’art. 1 comma 16 Legge 1</w:t>
      </w:r>
      <w:r w:rsidR="00D91E0A" w:rsidRPr="002529C7">
        <w:rPr>
          <w:rFonts w:ascii="Century Gothic" w:hAnsi="Century Gothic"/>
        </w:rPr>
        <w:t>07/2015”, pur negando esplicitamente la possibilità di inserimento all’interno dei POF della “cos</w:t>
      </w:r>
      <w:r w:rsidR="009E7488">
        <w:rPr>
          <w:rFonts w:ascii="Century Gothic" w:hAnsi="Century Gothic"/>
        </w:rPr>
        <w:t>iddetta”</w:t>
      </w:r>
      <w:r w:rsidR="002529C7" w:rsidRPr="002529C7">
        <w:rPr>
          <w:rFonts w:ascii="Century Gothic" w:hAnsi="Century Gothic"/>
        </w:rPr>
        <w:t xml:space="preserve"> (</w:t>
      </w:r>
      <w:r w:rsidR="009E7488">
        <w:rPr>
          <w:rFonts w:ascii="Century Gothic" w:hAnsi="Century Gothic"/>
        </w:rPr>
        <w:t>l’espressione</w:t>
      </w:r>
      <w:r w:rsidR="002529C7" w:rsidRPr="002529C7">
        <w:rPr>
          <w:rFonts w:ascii="Century Gothic" w:hAnsi="Century Gothic"/>
        </w:rPr>
        <w:t xml:space="preserve"> </w:t>
      </w:r>
      <w:r w:rsidR="009E1B33">
        <w:rPr>
          <w:rFonts w:ascii="Century Gothic" w:hAnsi="Century Gothic"/>
        </w:rPr>
        <w:t xml:space="preserve">è </w:t>
      </w:r>
      <w:r w:rsidR="002529C7" w:rsidRPr="002529C7">
        <w:rPr>
          <w:rFonts w:ascii="Century Gothic" w:hAnsi="Century Gothic"/>
        </w:rPr>
        <w:t xml:space="preserve">nel testo) </w:t>
      </w:r>
      <w:r w:rsidR="009E7488">
        <w:rPr>
          <w:rFonts w:ascii="Century Gothic" w:hAnsi="Century Gothic"/>
        </w:rPr>
        <w:t>“</w:t>
      </w:r>
      <w:r w:rsidR="002529C7" w:rsidRPr="002529C7">
        <w:rPr>
          <w:rFonts w:ascii="Century Gothic" w:hAnsi="Century Gothic"/>
        </w:rPr>
        <w:t>Teoria del gender</w:t>
      </w:r>
      <w:r w:rsidR="009E7488">
        <w:rPr>
          <w:rFonts w:ascii="Century Gothic" w:hAnsi="Century Gothic"/>
        </w:rPr>
        <w:t>” (il virgolettato è nel testo)</w:t>
      </w:r>
      <w:r w:rsidR="009E1B33">
        <w:rPr>
          <w:rFonts w:ascii="Century Gothic" w:hAnsi="Century Gothic"/>
        </w:rPr>
        <w:t>,</w:t>
      </w:r>
      <w:r w:rsidR="002529C7" w:rsidRPr="002529C7">
        <w:rPr>
          <w:rFonts w:ascii="Century Gothic" w:hAnsi="Century Gothic"/>
        </w:rPr>
        <w:t xml:space="preserve"> in realtà afferma ciò che presume negare;</w:t>
      </w:r>
    </w:p>
    <w:p w:rsidR="002529C7" w:rsidRPr="009E1B33" w:rsidRDefault="002529C7" w:rsidP="002529C7">
      <w:pPr>
        <w:pStyle w:val="Paragrafoelenco"/>
        <w:rPr>
          <w:rFonts w:ascii="Century Gothic" w:hAnsi="Century Gothic"/>
          <w:sz w:val="16"/>
          <w:szCs w:val="16"/>
        </w:rPr>
      </w:pPr>
    </w:p>
    <w:p w:rsidR="009E1B33" w:rsidRPr="009E1B33" w:rsidRDefault="002529C7" w:rsidP="004952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 w:rsidRPr="002529C7">
        <w:rPr>
          <w:rFonts w:ascii="Century Gothic" w:hAnsi="Century Gothic"/>
        </w:rPr>
        <w:t>tra i riferimenti normativi richiamati nella detta circolare si trova infatti citat</w:t>
      </w:r>
      <w:r w:rsidR="00BD431E">
        <w:rPr>
          <w:rFonts w:ascii="Century Gothic" w:hAnsi="Century Gothic"/>
        </w:rPr>
        <w:t>a</w:t>
      </w:r>
      <w:r w:rsidRPr="002529C7">
        <w:rPr>
          <w:rFonts w:ascii="Century Gothic" w:hAnsi="Century Gothic"/>
        </w:rPr>
        <w:t xml:space="preserve"> </w:t>
      </w:r>
      <w:r w:rsidR="00BD431E">
        <w:rPr>
          <w:rFonts w:ascii="Century Gothic" w:hAnsi="Century Gothic"/>
        </w:rPr>
        <w:t xml:space="preserve">la </w:t>
      </w:r>
      <w:r w:rsidRPr="002529C7">
        <w:rPr>
          <w:rFonts w:ascii="Century Gothic" w:hAnsi="Century Gothic"/>
        </w:rPr>
        <w:t xml:space="preserve">L. 128/2013 </w:t>
      </w:r>
      <w:r w:rsidR="00BD431E">
        <w:rPr>
          <w:rFonts w:ascii="Century Gothic" w:hAnsi="Century Gothic"/>
        </w:rPr>
        <w:t xml:space="preserve">la quale </w:t>
      </w:r>
      <w:r w:rsidR="00B713AA">
        <w:rPr>
          <w:rFonts w:ascii="Century Gothic" w:hAnsi="Century Gothic"/>
        </w:rPr>
        <w:t>al</w:t>
      </w:r>
      <w:r w:rsidR="00BD431E" w:rsidRPr="002529C7">
        <w:rPr>
          <w:rFonts w:ascii="Century Gothic" w:hAnsi="Century Gothic"/>
        </w:rPr>
        <w:t>l’art. 16 lett. D</w:t>
      </w:r>
      <w:r w:rsidR="00D91E0A" w:rsidRPr="002529C7">
        <w:rPr>
          <w:rFonts w:ascii="Century Gothic" w:hAnsi="Century Gothic"/>
        </w:rPr>
        <w:t xml:space="preserve"> </w:t>
      </w:r>
      <w:r w:rsidR="00BD431E">
        <w:rPr>
          <w:rFonts w:ascii="Century Gothic" w:hAnsi="Century Gothic"/>
        </w:rPr>
        <w:t>dispone</w:t>
      </w:r>
      <w:r>
        <w:rPr>
          <w:rFonts w:ascii="Century Gothic" w:hAnsi="Century Gothic"/>
        </w:rPr>
        <w:t xml:space="preserve"> </w:t>
      </w:r>
      <w:r w:rsidR="00BD431E">
        <w:rPr>
          <w:rFonts w:ascii="Century Gothic" w:hAnsi="Century Gothic"/>
        </w:rPr>
        <w:t xml:space="preserve">lo stanziamento </w:t>
      </w:r>
      <w:r w:rsidR="0055275A">
        <w:rPr>
          <w:rFonts w:ascii="Century Gothic" w:hAnsi="Century Gothic"/>
        </w:rPr>
        <w:t xml:space="preserve">della </w:t>
      </w:r>
      <w:r w:rsidR="00BD431E">
        <w:rPr>
          <w:rFonts w:ascii="Century Gothic" w:hAnsi="Century Gothic"/>
        </w:rPr>
        <w:t>cifra di 10.000.000 di euro destinati tra l’altro</w:t>
      </w:r>
      <w:r>
        <w:rPr>
          <w:rFonts w:ascii="Century Gothic" w:hAnsi="Century Gothic"/>
        </w:rPr>
        <w:t xml:space="preserve"> </w:t>
      </w:r>
      <w:r w:rsidRPr="00BD431E">
        <w:rPr>
          <w:rFonts w:ascii="Century Gothic" w:hAnsi="Century Gothic"/>
        </w:rPr>
        <w:t>“</w:t>
      </w:r>
      <w:r w:rsidRPr="00972F7B">
        <w:rPr>
          <w:rFonts w:ascii="Century Gothic" w:hAnsi="Century Gothic" w:cs="CourierNew"/>
          <w:i/>
        </w:rPr>
        <w:t xml:space="preserve">all'aumento delle competenze relative all'educazione all'affettività, al rispetto delle diversità e delle pari opportunità di genere e al superamento degli </w:t>
      </w:r>
      <w:r w:rsidRPr="00972F7B">
        <w:rPr>
          <w:rFonts w:ascii="Century Gothic" w:hAnsi="Century Gothic" w:cs="CourierNew"/>
          <w:b/>
          <w:i/>
          <w:u w:val="single"/>
        </w:rPr>
        <w:t>stereotipi di genere</w:t>
      </w:r>
      <w:r w:rsidRPr="00972F7B">
        <w:rPr>
          <w:rFonts w:ascii="Century Gothic" w:hAnsi="Century Gothic" w:cs="CourierNew"/>
          <w:i/>
        </w:rPr>
        <w:t>, in attuazione di quanto previsto dall'articolo 5 del decreto-legge 14 agosto 2013, n. 93, convertito, con modificazioni, dall</w:t>
      </w:r>
      <w:r w:rsidR="009E1B33" w:rsidRPr="00972F7B">
        <w:rPr>
          <w:rFonts w:ascii="Century Gothic" w:hAnsi="Century Gothic" w:cs="CourierNew"/>
          <w:i/>
        </w:rPr>
        <w:t>a legge 15 ottobre 2013, n. 119</w:t>
      </w:r>
      <w:r w:rsidR="00972F7B">
        <w:rPr>
          <w:rFonts w:ascii="Century Gothic" w:hAnsi="Century Gothic" w:cs="CourierNew"/>
        </w:rPr>
        <w:t>”</w:t>
      </w:r>
      <w:r w:rsidR="009E1B33">
        <w:rPr>
          <w:rFonts w:ascii="Century Gothic" w:hAnsi="Century Gothic" w:cs="CourierNew"/>
        </w:rPr>
        <w:t>;</w:t>
      </w:r>
    </w:p>
    <w:p w:rsidR="009E1B33" w:rsidRPr="009E1B33" w:rsidRDefault="009E1B33" w:rsidP="009E1B33">
      <w:pPr>
        <w:pStyle w:val="Paragrafoelenco"/>
        <w:rPr>
          <w:rFonts w:ascii="Century Gothic" w:hAnsi="Century Gothic" w:cs="CourierNew"/>
          <w:sz w:val="16"/>
          <w:szCs w:val="16"/>
        </w:rPr>
      </w:pPr>
    </w:p>
    <w:p w:rsidR="00B713AA" w:rsidRPr="00B713AA" w:rsidRDefault="009E1B33" w:rsidP="004952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CourierNew"/>
        </w:rPr>
        <w:t xml:space="preserve">l’espressione “stereotipi di genere” è emblematica </w:t>
      </w:r>
      <w:r w:rsidR="00972F7B">
        <w:rPr>
          <w:rFonts w:ascii="Century Gothic" w:hAnsi="Century Gothic" w:cs="CourierNew"/>
        </w:rPr>
        <w:t xml:space="preserve">e rivelatrice </w:t>
      </w:r>
      <w:r>
        <w:rPr>
          <w:rFonts w:ascii="Century Gothic" w:hAnsi="Century Gothic" w:cs="CourierNew"/>
        </w:rPr>
        <w:t xml:space="preserve">della teoria gender, poiché presuppone che l’essere </w:t>
      </w:r>
      <w:r w:rsidR="00B713AA">
        <w:rPr>
          <w:rFonts w:ascii="Century Gothic" w:hAnsi="Century Gothic" w:cs="CourierNew"/>
        </w:rPr>
        <w:t>uomo</w:t>
      </w:r>
      <w:r>
        <w:rPr>
          <w:rFonts w:ascii="Century Gothic" w:hAnsi="Century Gothic" w:cs="CourierNew"/>
        </w:rPr>
        <w:t xml:space="preserve"> o </w:t>
      </w:r>
      <w:r w:rsidR="00B713AA">
        <w:rPr>
          <w:rFonts w:ascii="Century Gothic" w:hAnsi="Century Gothic" w:cs="CourierNew"/>
        </w:rPr>
        <w:t>donna</w:t>
      </w:r>
      <w:r>
        <w:rPr>
          <w:rFonts w:ascii="Century Gothic" w:hAnsi="Century Gothic" w:cs="CourierNew"/>
        </w:rPr>
        <w:t xml:space="preserve"> sia una condizione </w:t>
      </w:r>
      <w:r w:rsidR="00881FA4">
        <w:rPr>
          <w:rFonts w:ascii="Century Gothic" w:hAnsi="Century Gothic" w:cs="CourierNew"/>
        </w:rPr>
        <w:t>avulsa</w:t>
      </w:r>
      <w:r>
        <w:rPr>
          <w:rFonts w:ascii="Century Gothic" w:hAnsi="Century Gothic" w:cs="CourierNew"/>
        </w:rPr>
        <w:t xml:space="preserve"> da</w:t>
      </w:r>
      <w:r w:rsidR="00B713AA">
        <w:rPr>
          <w:rFonts w:ascii="Century Gothic" w:hAnsi="Century Gothic" w:cs="CourierNew"/>
        </w:rPr>
        <w:t>ll</w:t>
      </w:r>
      <w:r>
        <w:rPr>
          <w:rFonts w:ascii="Century Gothic" w:hAnsi="Century Gothic" w:cs="CourierNew"/>
        </w:rPr>
        <w:t xml:space="preserve">a base fisiologica e </w:t>
      </w:r>
      <w:r w:rsidR="00B713AA">
        <w:rPr>
          <w:rFonts w:ascii="Century Gothic" w:hAnsi="Century Gothic" w:cs="CourierNew"/>
        </w:rPr>
        <w:t xml:space="preserve">determinata da condizioni socioculturali nonché affidata alla </w:t>
      </w:r>
      <w:r w:rsidR="00D44A09">
        <w:rPr>
          <w:rFonts w:ascii="Century Gothic" w:hAnsi="Century Gothic" w:cs="CourierNew"/>
        </w:rPr>
        <w:t>soggettiva</w:t>
      </w:r>
      <w:r w:rsidR="00B713AA">
        <w:rPr>
          <w:rFonts w:ascii="Century Gothic" w:hAnsi="Century Gothic" w:cs="CourierNew"/>
        </w:rPr>
        <w:t xml:space="preserve"> opzione del singolo;</w:t>
      </w:r>
    </w:p>
    <w:p w:rsidR="00B713AA" w:rsidRPr="00B713AA" w:rsidRDefault="00B713AA" w:rsidP="00B713AA">
      <w:pPr>
        <w:pStyle w:val="Paragrafoelenco"/>
        <w:rPr>
          <w:rFonts w:ascii="Century Gothic" w:hAnsi="Century Gothic" w:cs="CourierNew"/>
        </w:rPr>
      </w:pPr>
    </w:p>
    <w:p w:rsidR="00B713AA" w:rsidRDefault="001E4086" w:rsidP="00B713A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ourierNew"/>
        </w:rPr>
      </w:pPr>
      <w:r>
        <w:rPr>
          <w:rFonts w:ascii="Century Gothic" w:hAnsi="Century Gothic" w:cs="CourierNew"/>
        </w:rPr>
        <w:t>considerato</w:t>
      </w:r>
      <w:r w:rsidR="00B713AA">
        <w:rPr>
          <w:rFonts w:ascii="Century Gothic" w:hAnsi="Century Gothic" w:cs="CourierNew"/>
        </w:rPr>
        <w:t xml:space="preserve"> altresì</w:t>
      </w:r>
    </w:p>
    <w:p w:rsidR="00B713AA" w:rsidRDefault="00B713AA" w:rsidP="00B713A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ourierNew"/>
        </w:rPr>
      </w:pPr>
    </w:p>
    <w:p w:rsidR="00BF46FF" w:rsidRPr="002F305E" w:rsidRDefault="00BF46FF" w:rsidP="002F30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entury Gothic" w:hAnsi="Century Gothic" w:cs="Times New Roman"/>
        </w:rPr>
      </w:pPr>
      <w:r w:rsidRPr="002F305E">
        <w:rPr>
          <w:rFonts w:ascii="Century Gothic" w:hAnsi="Century Gothic" w:cs="Times New Roman"/>
        </w:rPr>
        <w:t xml:space="preserve">la pervicacia </w:t>
      </w:r>
      <w:r w:rsidR="002F305E">
        <w:rPr>
          <w:rFonts w:ascii="Century Gothic" w:hAnsi="Century Gothic" w:cs="Times New Roman"/>
        </w:rPr>
        <w:t xml:space="preserve"> e la </w:t>
      </w:r>
      <w:proofErr w:type="spellStart"/>
      <w:r w:rsidR="002F305E">
        <w:rPr>
          <w:rFonts w:ascii="Century Gothic" w:hAnsi="Century Gothic" w:cs="Times New Roman"/>
        </w:rPr>
        <w:t>pervasività</w:t>
      </w:r>
      <w:proofErr w:type="spellEnd"/>
      <w:r w:rsidR="002F305E">
        <w:rPr>
          <w:rFonts w:ascii="Century Gothic" w:hAnsi="Century Gothic" w:cs="Times New Roman"/>
        </w:rPr>
        <w:t xml:space="preserve"> </w:t>
      </w:r>
      <w:r w:rsidRPr="002F305E">
        <w:rPr>
          <w:rFonts w:ascii="Century Gothic" w:hAnsi="Century Gothic" w:cs="Times New Roman"/>
        </w:rPr>
        <w:t>con l</w:t>
      </w:r>
      <w:r w:rsidR="002F305E">
        <w:rPr>
          <w:rFonts w:ascii="Century Gothic" w:hAnsi="Century Gothic" w:cs="Times New Roman"/>
        </w:rPr>
        <w:t>e</w:t>
      </w:r>
      <w:r w:rsidRPr="002F305E">
        <w:rPr>
          <w:rFonts w:ascii="Century Gothic" w:hAnsi="Century Gothic" w:cs="Times New Roman"/>
        </w:rPr>
        <w:t xml:space="preserve"> qual</w:t>
      </w:r>
      <w:r w:rsidR="002F305E">
        <w:rPr>
          <w:rFonts w:ascii="Century Gothic" w:hAnsi="Century Gothic" w:cs="Times New Roman"/>
        </w:rPr>
        <w:t>i</w:t>
      </w:r>
      <w:r w:rsidRPr="002F305E">
        <w:rPr>
          <w:rFonts w:ascii="Century Gothic" w:hAnsi="Century Gothic" w:cs="Times New Roman"/>
        </w:rPr>
        <w:t xml:space="preserve"> </w:t>
      </w:r>
      <w:r w:rsidR="00035183" w:rsidRPr="002F305E">
        <w:rPr>
          <w:rFonts w:ascii="Century Gothic" w:hAnsi="Century Gothic" w:cs="Times New Roman"/>
        </w:rPr>
        <w:t>uffici</w:t>
      </w:r>
      <w:r w:rsidRPr="002F305E">
        <w:rPr>
          <w:rFonts w:ascii="Century Gothic" w:hAnsi="Century Gothic" w:cs="Times New Roman"/>
        </w:rPr>
        <w:t xml:space="preserve"> ed agenzie</w:t>
      </w:r>
      <w:r w:rsidR="00035183" w:rsidRPr="002F305E">
        <w:rPr>
          <w:rFonts w:ascii="Century Gothic" w:hAnsi="Century Gothic" w:cs="Times New Roman"/>
        </w:rPr>
        <w:t xml:space="preserve">, anche costituiti presso </w:t>
      </w:r>
      <w:r w:rsidRPr="002F305E">
        <w:rPr>
          <w:rFonts w:ascii="Century Gothic" w:hAnsi="Century Gothic" w:cs="Times New Roman"/>
        </w:rPr>
        <w:t xml:space="preserve"> </w:t>
      </w:r>
      <w:r w:rsidR="00035183" w:rsidRPr="002F305E">
        <w:rPr>
          <w:rFonts w:ascii="Century Gothic" w:hAnsi="Century Gothic" w:cs="Times New Roman"/>
        </w:rPr>
        <w:t xml:space="preserve">istituzioni dello Stato, </w:t>
      </w:r>
      <w:r w:rsidRPr="002F305E">
        <w:rPr>
          <w:rFonts w:ascii="Century Gothic" w:hAnsi="Century Gothic" w:cs="Times New Roman"/>
        </w:rPr>
        <w:t xml:space="preserve">conducono la loro azione intesa ad introdurre nelle scuole la teoria gender </w:t>
      </w:r>
      <w:r w:rsidR="00035183" w:rsidRPr="002F305E">
        <w:rPr>
          <w:rFonts w:ascii="Century Gothic" w:hAnsi="Century Gothic" w:cs="Times New Roman"/>
        </w:rPr>
        <w:t xml:space="preserve">(leggasi ad esempio il seguente passaggio testuale tratto da pag. 20 della “Strategia nazionale LGBT” pubblicata dall’Ufficio Nazionale Antidiscriminazioni Razziali costituito presso </w:t>
      </w:r>
      <w:r w:rsidR="002F305E" w:rsidRPr="002F305E">
        <w:rPr>
          <w:rFonts w:ascii="Century Gothic" w:hAnsi="Century Gothic" w:cs="Times New Roman"/>
        </w:rPr>
        <w:t>la Presidenza del Consiglio dei Ministri</w:t>
      </w:r>
      <w:r w:rsidR="00035183" w:rsidRPr="002F305E">
        <w:rPr>
          <w:rFonts w:ascii="Century Gothic" w:hAnsi="Century Gothic" w:cs="Times New Roman"/>
        </w:rPr>
        <w:t>: “</w:t>
      </w:r>
      <w:r w:rsidR="002F305E" w:rsidRPr="002F305E">
        <w:rPr>
          <w:rFonts w:ascii="Century Gothic" w:hAnsi="Century Gothic" w:cs="Times New Roman"/>
          <w:i/>
        </w:rPr>
        <w:t xml:space="preserve">(…) </w:t>
      </w:r>
      <w:r w:rsidR="00035183" w:rsidRPr="002F305E">
        <w:rPr>
          <w:rFonts w:ascii="Century Gothic" w:hAnsi="Century Gothic" w:cs="RotisSansSerif-Light"/>
          <w:i/>
        </w:rPr>
        <w:t xml:space="preserve">Ma dietro gli episodi di bullismo </w:t>
      </w:r>
      <w:proofErr w:type="spellStart"/>
      <w:r w:rsidR="00035183" w:rsidRPr="002F305E">
        <w:rPr>
          <w:rFonts w:ascii="Century Gothic" w:hAnsi="Century Gothic" w:cs="RotisSansSerif-Light"/>
          <w:i/>
        </w:rPr>
        <w:t>omofobico</w:t>
      </w:r>
      <w:proofErr w:type="spellEnd"/>
      <w:r w:rsidR="00035183" w:rsidRPr="002F305E">
        <w:rPr>
          <w:rFonts w:ascii="Century Gothic" w:hAnsi="Century Gothic" w:cs="RotisSansSerif-Light"/>
          <w:i/>
        </w:rPr>
        <w:t xml:space="preserve"> e </w:t>
      </w:r>
      <w:proofErr w:type="spellStart"/>
      <w:r w:rsidR="00035183" w:rsidRPr="002F305E">
        <w:rPr>
          <w:rFonts w:ascii="Century Gothic" w:hAnsi="Century Gothic" w:cs="RotisSansSerif-Light"/>
          <w:i/>
        </w:rPr>
        <w:t>transfobico</w:t>
      </w:r>
      <w:proofErr w:type="spellEnd"/>
      <w:r w:rsidR="00035183" w:rsidRPr="002F305E">
        <w:rPr>
          <w:rFonts w:ascii="Century Gothic" w:hAnsi="Century Gothic" w:cs="RotisSansSerif-Light"/>
          <w:i/>
        </w:rPr>
        <w:t xml:space="preserve"> vi sono altri problemi,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 xml:space="preserve">quali quelli legati a una cultura che prevede soltanto una visione </w:t>
      </w:r>
      <w:proofErr w:type="spellStart"/>
      <w:r w:rsidR="00035183" w:rsidRPr="002F305E">
        <w:rPr>
          <w:rFonts w:ascii="Century Gothic" w:hAnsi="Century Gothic" w:cs="RotisSansSerif-Light"/>
          <w:i/>
        </w:rPr>
        <w:t>eteronormativa</w:t>
      </w:r>
      <w:proofErr w:type="spellEnd"/>
      <w:r w:rsidR="00035183" w:rsidRPr="002F305E">
        <w:rPr>
          <w:rFonts w:ascii="Century Gothic" w:hAnsi="Century Gothic" w:cs="RotisSansSerif-Light"/>
          <w:i/>
        </w:rPr>
        <w:t xml:space="preserve"> e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>modelli di sessualità e norme di genere. Le tematiche LGBT trovano spazi marginali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>nelle aule scolastiche, o sono relegate a momenti extra curriculari; gli insegnanti ed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>educatori sono a loro volta disinformati e impreparati ad affrontare questi temi.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E802C2">
        <w:rPr>
          <w:rFonts w:ascii="Century Gothic" w:hAnsi="Century Gothic" w:cs="RotisSansSerif-Light"/>
          <w:b/>
          <w:i/>
          <w:u w:val="single"/>
        </w:rPr>
        <w:t>In questa prospettiva è di particolare importanza il ruolo della scuola e degli insegnanti</w:t>
      </w:r>
      <w:r w:rsidR="002F305E" w:rsidRPr="00E802C2">
        <w:rPr>
          <w:rFonts w:ascii="Century Gothic" w:hAnsi="Century Gothic" w:cs="RotisSansSerif-Light"/>
          <w:b/>
          <w:i/>
          <w:u w:val="single"/>
        </w:rPr>
        <w:t xml:space="preserve"> </w:t>
      </w:r>
      <w:r w:rsidR="00035183" w:rsidRPr="00E802C2">
        <w:rPr>
          <w:rFonts w:ascii="Century Gothic" w:hAnsi="Century Gothic" w:cs="RotisSansSerif-Light"/>
          <w:b/>
          <w:i/>
          <w:u w:val="single"/>
        </w:rPr>
        <w:t>nel cambiare e modificare attitudini e comportamenti specifici</w:t>
      </w:r>
      <w:r w:rsidR="00035183" w:rsidRPr="002F305E">
        <w:rPr>
          <w:rFonts w:ascii="Century Gothic" w:hAnsi="Century Gothic" w:cs="RotisSansSerif-Light"/>
          <w:i/>
        </w:rPr>
        <w:t>, nell’educare al rispetto</w:t>
      </w:r>
      <w:r w:rsidR="002F305E" w:rsidRP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>delle differenze, che non sono soltanto quelle culturali o di provenienza geografica, nel</w:t>
      </w:r>
      <w:r w:rsidR="002F305E">
        <w:rPr>
          <w:rFonts w:ascii="Century Gothic" w:hAnsi="Century Gothic" w:cs="RotisSansSerif-Light"/>
          <w:i/>
        </w:rPr>
        <w:t xml:space="preserve"> </w:t>
      </w:r>
      <w:r w:rsidR="00035183" w:rsidRPr="002F305E">
        <w:rPr>
          <w:rFonts w:ascii="Century Gothic" w:hAnsi="Century Gothic" w:cs="RotisSansSerif-Light"/>
          <w:i/>
        </w:rPr>
        <w:t>rimuovere ogni forma di intolleranza, violenza, pregiudizio o discriminazione</w:t>
      </w:r>
      <w:r w:rsidR="00035183" w:rsidRPr="002F305E">
        <w:rPr>
          <w:rFonts w:ascii="Century Gothic" w:hAnsi="Century Gothic" w:cs="RotisSansSerif-Light"/>
        </w:rPr>
        <w:t>”.</w:t>
      </w:r>
      <w:r w:rsidR="00035183" w:rsidRPr="002F305E">
        <w:rPr>
          <w:rFonts w:ascii="Century Gothic" w:hAnsi="Century Gothic" w:cs="Times New Roman"/>
        </w:rPr>
        <w:t xml:space="preserve">  </w:t>
      </w:r>
    </w:p>
    <w:p w:rsidR="00BF46FF" w:rsidRPr="00BF46FF" w:rsidRDefault="00BF46FF" w:rsidP="00BF46FF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16"/>
          <w:szCs w:val="16"/>
        </w:rPr>
      </w:pPr>
    </w:p>
    <w:p w:rsidR="00931D5F" w:rsidRPr="00AE4521" w:rsidRDefault="00B713AA" w:rsidP="00B713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CourierNew"/>
        </w:rPr>
        <w:t xml:space="preserve">i </w:t>
      </w:r>
      <w:r w:rsidRPr="00B713AA">
        <w:rPr>
          <w:rFonts w:ascii="Century Gothic" w:hAnsi="Century Gothic" w:cs="CourierNew"/>
        </w:rPr>
        <w:t xml:space="preserve"> </w:t>
      </w:r>
      <w:r w:rsidR="00BD431E" w:rsidRPr="00B713AA">
        <w:rPr>
          <w:rFonts w:ascii="Century Gothic" w:hAnsi="Century Gothic" w:cs="CourierNew"/>
        </w:rPr>
        <w:t xml:space="preserve"> </w:t>
      </w:r>
      <w:r>
        <w:rPr>
          <w:rFonts w:ascii="Century Gothic" w:hAnsi="Century Gothic" w:cs="CourierNew"/>
        </w:rPr>
        <w:t xml:space="preserve">numerosi casi </w:t>
      </w:r>
      <w:r w:rsidR="00804889">
        <w:rPr>
          <w:rFonts w:ascii="Century Gothic" w:hAnsi="Century Gothic" w:cs="CourierNew"/>
        </w:rPr>
        <w:t xml:space="preserve">in cui – spesso disattendendo i passaggi formali previsti dalla normativa scolastica, </w:t>
      </w:r>
      <w:r w:rsidR="001E4086">
        <w:rPr>
          <w:rFonts w:ascii="Century Gothic" w:hAnsi="Century Gothic" w:cs="CourierNew"/>
        </w:rPr>
        <w:t>quindi in assenza di consultazione ed assenso</w:t>
      </w:r>
      <w:r w:rsidR="00804889">
        <w:rPr>
          <w:rFonts w:ascii="Century Gothic" w:hAnsi="Century Gothic" w:cs="CourierNew"/>
        </w:rPr>
        <w:t xml:space="preserve"> dei genitori e d</w:t>
      </w:r>
      <w:r w:rsidR="001E4086">
        <w:rPr>
          <w:rFonts w:ascii="Century Gothic" w:hAnsi="Century Gothic" w:cs="CourierNew"/>
        </w:rPr>
        <w:t>egli</w:t>
      </w:r>
      <w:r w:rsidR="00804889">
        <w:rPr>
          <w:rFonts w:ascii="Century Gothic" w:hAnsi="Century Gothic" w:cs="CourierNew"/>
        </w:rPr>
        <w:t xml:space="preserve"> stessi docenti</w:t>
      </w:r>
      <w:r w:rsidR="001E4086">
        <w:rPr>
          <w:rFonts w:ascii="Century Gothic" w:hAnsi="Century Gothic" w:cs="CourierNew"/>
        </w:rPr>
        <w:t xml:space="preserve"> degli allievi interessati – sono stati introdotti in istituti scolastici di ogni ordine e grado progetti extracurriculari ispirati alla teoria gender, a volta corredati da manuali di conseguente tenore,</w:t>
      </w:r>
    </w:p>
    <w:p w:rsidR="00AE4521" w:rsidRPr="00931D5F" w:rsidRDefault="00AE4521" w:rsidP="00AE4521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B0553C" w:rsidRPr="00C97E6C" w:rsidRDefault="00D52AEB" w:rsidP="00B713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CourierNew"/>
        </w:rPr>
        <w:lastRenderedPageBreak/>
        <w:t xml:space="preserve">la circostanza </w:t>
      </w:r>
      <w:r w:rsidR="002F305E">
        <w:rPr>
          <w:rFonts w:ascii="Century Gothic" w:hAnsi="Century Gothic" w:cs="CourierNew"/>
        </w:rPr>
        <w:t xml:space="preserve">che </w:t>
      </w:r>
      <w:r w:rsidR="00AE4521">
        <w:rPr>
          <w:rFonts w:ascii="Century Gothic" w:hAnsi="Century Gothic" w:cs="CourierNew"/>
        </w:rPr>
        <w:t xml:space="preserve">tali progetti sono anche indirizzati ad alunni della scuola primaria e perfino della scuola dell’infanzia, dove con tutta evidenza la </w:t>
      </w:r>
      <w:r w:rsidR="00386B62">
        <w:rPr>
          <w:rFonts w:ascii="Century Gothic" w:hAnsi="Century Gothic" w:cs="CourierNew"/>
        </w:rPr>
        <w:t>giovanissima età impedisce l’esercizio di spirito critico e rende indifesi di fronte a</w:t>
      </w:r>
      <w:r w:rsidR="002F305E">
        <w:rPr>
          <w:rFonts w:ascii="Century Gothic" w:hAnsi="Century Gothic" w:cs="CourierNew"/>
        </w:rPr>
        <w:t xml:space="preserve"> possibili</w:t>
      </w:r>
      <w:r w:rsidR="00386B62">
        <w:rPr>
          <w:rFonts w:ascii="Century Gothic" w:hAnsi="Century Gothic" w:cs="CourierNew"/>
        </w:rPr>
        <w:t xml:space="preserve"> azioni di persuasione </w:t>
      </w:r>
      <w:r w:rsidR="002F305E">
        <w:rPr>
          <w:rFonts w:ascii="Century Gothic" w:hAnsi="Century Gothic" w:cs="CourierNew"/>
        </w:rPr>
        <w:t xml:space="preserve">e indottrinamento, oltretutto operati </w:t>
      </w:r>
      <w:r w:rsidR="00B0553C">
        <w:rPr>
          <w:rFonts w:ascii="Century Gothic" w:hAnsi="Century Gothic" w:cs="CourierNew"/>
        </w:rPr>
        <w:t>durate</w:t>
      </w:r>
      <w:r w:rsidR="002F305E">
        <w:rPr>
          <w:rFonts w:ascii="Century Gothic" w:hAnsi="Century Gothic" w:cs="CourierNew"/>
        </w:rPr>
        <w:t xml:space="preserve"> un segmento di vita in cui il soggetto è particolarmente recettivo e plasmabile</w:t>
      </w:r>
      <w:r w:rsidR="00B0553C">
        <w:rPr>
          <w:rFonts w:ascii="Century Gothic" w:hAnsi="Century Gothic" w:cs="CourierNew"/>
        </w:rPr>
        <w:t xml:space="preserve"> (si veda l’opuscolo “Educare alla diversità nella scuola” dedicato alla scuola primaria sempre a cura dell’</w:t>
      </w:r>
      <w:proofErr w:type="spellStart"/>
      <w:r w:rsidR="00B0553C">
        <w:rPr>
          <w:rFonts w:ascii="Century Gothic" w:hAnsi="Century Gothic" w:cs="CourierNew"/>
        </w:rPr>
        <w:t>U.N.A.R.</w:t>
      </w:r>
      <w:proofErr w:type="spellEnd"/>
      <w:r w:rsidR="00B0553C">
        <w:rPr>
          <w:rFonts w:ascii="Century Gothic" w:hAnsi="Century Gothic" w:cs="CourierNew"/>
        </w:rPr>
        <w:t>)</w:t>
      </w:r>
      <w:r w:rsidR="00C97E6C">
        <w:rPr>
          <w:rFonts w:ascii="Century Gothic" w:hAnsi="Century Gothic" w:cs="CourierNew"/>
        </w:rPr>
        <w:t>;</w:t>
      </w:r>
    </w:p>
    <w:p w:rsidR="00C97E6C" w:rsidRPr="00C97E6C" w:rsidRDefault="00C97E6C" w:rsidP="00C97E6C">
      <w:pPr>
        <w:pStyle w:val="Paragrafoelenco"/>
        <w:rPr>
          <w:rFonts w:ascii="Century Gothic" w:hAnsi="Century Gothic" w:cs="Times New Roman"/>
        </w:rPr>
      </w:pPr>
    </w:p>
    <w:p w:rsidR="00C97E6C" w:rsidRDefault="00E802C2" w:rsidP="00E802C2">
      <w:pPr>
        <w:autoSpaceDE w:val="0"/>
        <w:autoSpaceDN w:val="0"/>
        <w:adjustRightInd w:val="0"/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</w:t>
      </w:r>
      <w:r w:rsidR="00C97E6C">
        <w:rPr>
          <w:rFonts w:ascii="Century Gothic" w:hAnsi="Century Gothic" w:cs="Times New Roman"/>
        </w:rPr>
        <w:t>utto ciò premesso e considerato</w:t>
      </w:r>
      <w:r>
        <w:rPr>
          <w:rFonts w:ascii="Century Gothic" w:hAnsi="Century Gothic" w:cs="Times New Roman"/>
        </w:rPr>
        <w:t>,</w:t>
      </w:r>
    </w:p>
    <w:p w:rsidR="00C97E6C" w:rsidRDefault="00C97E6C" w:rsidP="00C97E6C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3D519F" w:rsidRDefault="003D519F" w:rsidP="003D519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pur nel pieno rispetto delle competenze attribuite dalla legge al Dirigente Scolastico, agli Organi Collegiali di Istituto nonché del principio della libertà di insegnamento garantito da Cost. art. 33,</w:t>
      </w:r>
    </w:p>
    <w:p w:rsidR="003D519F" w:rsidRDefault="003D519F" w:rsidP="00C97E6C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3D519F" w:rsidRDefault="00594CB3" w:rsidP="00C97E6C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i </w:t>
      </w:r>
      <w:r w:rsidR="00834D40">
        <w:rPr>
          <w:rFonts w:ascii="Century Gothic" w:hAnsi="Century Gothic" w:cs="Times New Roman"/>
        </w:rPr>
        <w:t xml:space="preserve"> </w:t>
      </w:r>
      <w:r w:rsidR="00C97E6C">
        <w:rPr>
          <w:rFonts w:ascii="Century Gothic" w:hAnsi="Century Gothic" w:cs="Times New Roman"/>
        </w:rPr>
        <w:t>firmatari della presente mozione impegnano codesta Spett. Amministrazione</w:t>
      </w:r>
      <w:r w:rsidR="006D4B52">
        <w:rPr>
          <w:rFonts w:ascii="Century Gothic" w:hAnsi="Century Gothic" w:cs="Times New Roman"/>
        </w:rPr>
        <w:t>:</w:t>
      </w:r>
    </w:p>
    <w:p w:rsidR="003D519F" w:rsidRDefault="003D519F" w:rsidP="00C97E6C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834D40" w:rsidRDefault="00C97E6C" w:rsidP="00C97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</w:t>
      </w:r>
      <w:r w:rsidR="00E802C2">
        <w:rPr>
          <w:rFonts w:ascii="Century Gothic" w:hAnsi="Century Gothic" w:cs="Times New Roman"/>
        </w:rPr>
        <w:t>d</w:t>
      </w:r>
      <w:r>
        <w:rPr>
          <w:rFonts w:ascii="Century Gothic" w:hAnsi="Century Gothic" w:cs="Times New Roman"/>
        </w:rPr>
        <w:t xml:space="preserve"> </w:t>
      </w:r>
      <w:r w:rsidR="00E802C2">
        <w:rPr>
          <w:rFonts w:ascii="Century Gothic" w:hAnsi="Century Gothic" w:cs="Times New Roman"/>
        </w:rPr>
        <w:t>indirizzare</w:t>
      </w:r>
      <w:r>
        <w:rPr>
          <w:rFonts w:ascii="Century Gothic" w:hAnsi="Century Gothic" w:cs="Times New Roman"/>
        </w:rPr>
        <w:t xml:space="preserve"> ai </w:t>
      </w:r>
      <w:r w:rsidR="00092AF3">
        <w:rPr>
          <w:rFonts w:ascii="Century Gothic" w:hAnsi="Century Gothic" w:cs="Times New Roman"/>
        </w:rPr>
        <w:t xml:space="preserve">Sigg. </w:t>
      </w:r>
      <w:r>
        <w:rPr>
          <w:rFonts w:ascii="Century Gothic" w:hAnsi="Century Gothic" w:cs="Times New Roman"/>
        </w:rPr>
        <w:t xml:space="preserve">Dirigenti Scolastici ed ai </w:t>
      </w:r>
      <w:r w:rsidR="00092AF3">
        <w:rPr>
          <w:rFonts w:ascii="Century Gothic" w:hAnsi="Century Gothic" w:cs="Times New Roman"/>
        </w:rPr>
        <w:t xml:space="preserve">Sigg. </w:t>
      </w:r>
      <w:r>
        <w:rPr>
          <w:rFonts w:ascii="Century Gothic" w:hAnsi="Century Gothic" w:cs="Times New Roman"/>
        </w:rPr>
        <w:t>Docenti degli Istituti scolastici di ogni ordine e grado, statali come</w:t>
      </w:r>
      <w:r w:rsidR="00E802C2">
        <w:rPr>
          <w:rFonts w:ascii="Century Gothic" w:hAnsi="Century Gothic" w:cs="Times New Roman"/>
        </w:rPr>
        <w:t xml:space="preserve"> parificati, </w:t>
      </w:r>
      <w:r w:rsidR="003D519F">
        <w:rPr>
          <w:rFonts w:ascii="Century Gothic" w:hAnsi="Century Gothic" w:cs="Times New Roman"/>
        </w:rPr>
        <w:t xml:space="preserve">siti nel Comune di Saronno, </w:t>
      </w:r>
      <w:r w:rsidR="00E802C2">
        <w:rPr>
          <w:rFonts w:ascii="Century Gothic" w:hAnsi="Century Gothic" w:cs="Times New Roman"/>
        </w:rPr>
        <w:t xml:space="preserve">una raccomandazione a </w:t>
      </w:r>
      <w:r w:rsidR="00185E16">
        <w:rPr>
          <w:rFonts w:ascii="Century Gothic" w:hAnsi="Century Gothic" w:cs="Times New Roman"/>
        </w:rPr>
        <w:t>considerare</w:t>
      </w:r>
      <w:r w:rsidR="00E802C2">
        <w:rPr>
          <w:rFonts w:ascii="Century Gothic" w:hAnsi="Century Gothic" w:cs="Times New Roman"/>
        </w:rPr>
        <w:t xml:space="preserve"> quanto l’even</w:t>
      </w:r>
      <w:r w:rsidR="00834D40">
        <w:rPr>
          <w:rFonts w:ascii="Century Gothic" w:hAnsi="Century Gothic" w:cs="Times New Roman"/>
        </w:rPr>
        <w:t>tuale</w:t>
      </w:r>
      <w:r w:rsidR="00E802C2">
        <w:rPr>
          <w:rFonts w:ascii="Century Gothic" w:hAnsi="Century Gothic" w:cs="Times New Roman"/>
        </w:rPr>
        <w:t xml:space="preserve"> diffusione della teoria gender nelle scuole di loro competenza sarebbe portatrice presso gli alunni e gli studenti di </w:t>
      </w:r>
      <w:r w:rsidR="00092AF3">
        <w:rPr>
          <w:rFonts w:ascii="Century Gothic" w:hAnsi="Century Gothic" w:cs="Times New Roman"/>
        </w:rPr>
        <w:t xml:space="preserve">profondi </w:t>
      </w:r>
      <w:r w:rsidR="00E802C2">
        <w:rPr>
          <w:rFonts w:ascii="Century Gothic" w:hAnsi="Century Gothic" w:cs="Times New Roman"/>
        </w:rPr>
        <w:t xml:space="preserve">confusione e sconcerto, essendo essa oggettivamente  </w:t>
      </w:r>
      <w:r w:rsidR="00834D40">
        <w:rPr>
          <w:rFonts w:ascii="Century Gothic" w:hAnsi="Century Gothic" w:cs="Times New Roman"/>
        </w:rPr>
        <w:t>contrastante con dati antropologici naturali e non manipolabili;</w:t>
      </w:r>
    </w:p>
    <w:p w:rsidR="00881FA4" w:rsidRPr="00881FA4" w:rsidRDefault="00881FA4" w:rsidP="00881FA4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16"/>
          <w:szCs w:val="16"/>
        </w:rPr>
      </w:pPr>
    </w:p>
    <w:p w:rsidR="00881FA4" w:rsidRDefault="00771696" w:rsidP="00C97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 rispettosamente sollecitare </w:t>
      </w:r>
      <w:r w:rsidR="00881FA4">
        <w:rPr>
          <w:rFonts w:ascii="Century Gothic" w:hAnsi="Century Gothic" w:cs="Times New Roman"/>
        </w:rPr>
        <w:t>i Sigg. Dirigenti Scolastici</w:t>
      </w:r>
      <w:r w:rsidR="00DA7547">
        <w:rPr>
          <w:rFonts w:ascii="Century Gothic" w:hAnsi="Century Gothic" w:cs="Times New Roman"/>
        </w:rPr>
        <w:t xml:space="preserve"> affinché</w:t>
      </w:r>
      <w:r w:rsidR="00881FA4">
        <w:rPr>
          <w:rFonts w:ascii="Century Gothic" w:hAnsi="Century Gothic" w:cs="Times New Roman"/>
        </w:rPr>
        <w:t>, nell’ambito dei poteri di indirizzo rispetto al Piano dell’Offerta Formativa</w:t>
      </w:r>
      <w:r w:rsidR="003D519F">
        <w:rPr>
          <w:rFonts w:ascii="Century Gothic" w:hAnsi="Century Gothic" w:cs="Times New Roman"/>
        </w:rPr>
        <w:t xml:space="preserve"> introdotti </w:t>
      </w:r>
      <w:r w:rsidR="00786C4C">
        <w:rPr>
          <w:rFonts w:ascii="Century Gothic" w:hAnsi="Century Gothic" w:cs="Times New Roman"/>
        </w:rPr>
        <w:t>da</w:t>
      </w:r>
      <w:r w:rsidR="003D519F">
        <w:rPr>
          <w:rFonts w:ascii="Century Gothic" w:hAnsi="Century Gothic" w:cs="Times New Roman"/>
        </w:rPr>
        <w:t>lla L. 107</w:t>
      </w:r>
      <w:r w:rsidR="00881FA4">
        <w:rPr>
          <w:rFonts w:ascii="Century Gothic" w:hAnsi="Century Gothic" w:cs="Times New Roman"/>
        </w:rPr>
        <w:t xml:space="preserve">, </w:t>
      </w:r>
      <w:r w:rsidR="00DA7547">
        <w:rPr>
          <w:rFonts w:ascii="Century Gothic" w:hAnsi="Century Gothic" w:cs="Times New Roman"/>
        </w:rPr>
        <w:t>evitino</w:t>
      </w:r>
      <w:r w:rsidR="00881FA4">
        <w:rPr>
          <w:rFonts w:ascii="Century Gothic" w:hAnsi="Century Gothic" w:cs="Times New Roman"/>
        </w:rPr>
        <w:t xml:space="preserve"> ogni indicazione che possa </w:t>
      </w:r>
      <w:r>
        <w:rPr>
          <w:rFonts w:ascii="Century Gothic" w:hAnsi="Century Gothic" w:cs="Times New Roman"/>
        </w:rPr>
        <w:t>costituire</w:t>
      </w:r>
      <w:r w:rsidR="00881FA4">
        <w:rPr>
          <w:rFonts w:ascii="Century Gothic" w:hAnsi="Century Gothic" w:cs="Times New Roman"/>
        </w:rPr>
        <w:t xml:space="preserve"> </w:t>
      </w:r>
      <w:r w:rsidR="003D519F">
        <w:rPr>
          <w:rFonts w:ascii="Century Gothic" w:hAnsi="Century Gothic" w:cs="Times New Roman"/>
        </w:rPr>
        <w:t>occasione di ingresso di progetti ispirati alla detta teoria;</w:t>
      </w:r>
      <w:r w:rsidR="00881FA4">
        <w:rPr>
          <w:rFonts w:ascii="Century Gothic" w:hAnsi="Century Gothic" w:cs="Times New Roman"/>
        </w:rPr>
        <w:t xml:space="preserve"> </w:t>
      </w:r>
    </w:p>
    <w:p w:rsidR="00594CB3" w:rsidRPr="00594CB3" w:rsidRDefault="00594CB3" w:rsidP="00594CB3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16"/>
          <w:szCs w:val="16"/>
        </w:rPr>
      </w:pPr>
    </w:p>
    <w:p w:rsidR="00594E71" w:rsidRDefault="00092AF3" w:rsidP="00C97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 chiedere ai medesimi, </w:t>
      </w:r>
      <w:r w:rsidR="00834D40">
        <w:rPr>
          <w:rFonts w:ascii="Century Gothic" w:hAnsi="Century Gothic" w:cs="Times New Roman"/>
        </w:rPr>
        <w:t xml:space="preserve">nel </w:t>
      </w:r>
      <w:r w:rsidR="00594CB3">
        <w:rPr>
          <w:rFonts w:ascii="Century Gothic" w:hAnsi="Century Gothic" w:cs="Times New Roman"/>
        </w:rPr>
        <w:t xml:space="preserve">caso in cui </w:t>
      </w:r>
      <w:r w:rsidR="00594E71">
        <w:rPr>
          <w:rFonts w:ascii="Century Gothic" w:hAnsi="Century Gothic" w:cs="Times New Roman"/>
        </w:rPr>
        <w:t xml:space="preserve"> le istituzioni deliberino </w:t>
      </w:r>
      <w:r w:rsidR="00771696">
        <w:rPr>
          <w:rFonts w:ascii="Century Gothic" w:hAnsi="Century Gothic" w:cs="Times New Roman"/>
        </w:rPr>
        <w:t>con le formalità</w:t>
      </w:r>
      <w:r w:rsidR="00594E71">
        <w:rPr>
          <w:rFonts w:ascii="Century Gothic" w:hAnsi="Century Gothic" w:cs="Times New Roman"/>
        </w:rPr>
        <w:t xml:space="preserve"> di legge l’introduzione di progetti </w:t>
      </w:r>
      <w:r>
        <w:rPr>
          <w:rFonts w:ascii="Century Gothic" w:hAnsi="Century Gothic" w:cs="Times New Roman"/>
        </w:rPr>
        <w:t>extracurriculari</w:t>
      </w:r>
      <w:r w:rsidR="00771696">
        <w:rPr>
          <w:rFonts w:ascii="Century Gothic" w:hAnsi="Century Gothic" w:cs="Times New Roman"/>
        </w:rPr>
        <w:t>,</w:t>
      </w:r>
      <w:r>
        <w:rPr>
          <w:rFonts w:ascii="Century Gothic" w:hAnsi="Century Gothic" w:cs="Times New Roman"/>
        </w:rPr>
        <w:t xml:space="preserve"> coincidenti o non coincidenti con l’orario </w:t>
      </w:r>
      <w:r w:rsidR="00771696">
        <w:rPr>
          <w:rFonts w:ascii="Century Gothic" w:hAnsi="Century Gothic" w:cs="Times New Roman"/>
        </w:rPr>
        <w:t>ordinario</w:t>
      </w:r>
      <w:r>
        <w:rPr>
          <w:rFonts w:ascii="Century Gothic" w:hAnsi="Century Gothic" w:cs="Times New Roman"/>
        </w:rPr>
        <w:t xml:space="preserve"> di lezione, </w:t>
      </w:r>
      <w:r w:rsidR="00594E71">
        <w:rPr>
          <w:rFonts w:ascii="Century Gothic" w:hAnsi="Century Gothic" w:cs="Times New Roman"/>
        </w:rPr>
        <w:t>ispirati alla teoria gender</w:t>
      </w:r>
      <w:r w:rsidR="00834D40">
        <w:rPr>
          <w:rFonts w:ascii="Century Gothic" w:hAnsi="Century Gothic" w:cs="Times New Roman"/>
        </w:rPr>
        <w:t xml:space="preserve"> </w:t>
      </w:r>
      <w:r w:rsidR="00594E71">
        <w:rPr>
          <w:rFonts w:ascii="Century Gothic" w:hAnsi="Century Gothic" w:cs="Times New Roman"/>
        </w:rPr>
        <w:t xml:space="preserve">o questa richiamanti, </w:t>
      </w:r>
      <w:r w:rsidR="0029781F">
        <w:rPr>
          <w:rFonts w:ascii="Century Gothic" w:hAnsi="Century Gothic" w:cs="Times New Roman"/>
        </w:rPr>
        <w:t xml:space="preserve">che </w:t>
      </w:r>
      <w:r w:rsidR="00594E71">
        <w:rPr>
          <w:rFonts w:ascii="Century Gothic" w:hAnsi="Century Gothic" w:cs="Times New Roman"/>
        </w:rPr>
        <w:t>ne sia data informazione alle famiglie</w:t>
      </w:r>
      <w:r w:rsidR="00A918EC">
        <w:rPr>
          <w:rFonts w:ascii="Century Gothic" w:hAnsi="Century Gothic" w:cs="Times New Roman"/>
        </w:rPr>
        <w:t xml:space="preserve"> preventivamente alla loro attuazione</w:t>
      </w:r>
      <w:r w:rsidR="00594E71">
        <w:rPr>
          <w:rFonts w:ascii="Century Gothic" w:hAnsi="Century Gothic" w:cs="Times New Roman"/>
        </w:rPr>
        <w:t xml:space="preserve">, affinché queste possano manifestare assenso o rifiuto, e a quest’ultimo consegua </w:t>
      </w:r>
      <w:r>
        <w:rPr>
          <w:rFonts w:ascii="Century Gothic" w:hAnsi="Century Gothic" w:cs="Times New Roman"/>
        </w:rPr>
        <w:t xml:space="preserve">per gli alunni </w:t>
      </w:r>
      <w:r w:rsidR="00594E71">
        <w:rPr>
          <w:rFonts w:ascii="Century Gothic" w:hAnsi="Century Gothic" w:cs="Times New Roman"/>
        </w:rPr>
        <w:t xml:space="preserve">la </w:t>
      </w:r>
      <w:r>
        <w:rPr>
          <w:rFonts w:ascii="Century Gothic" w:hAnsi="Century Gothic" w:cs="Times New Roman"/>
        </w:rPr>
        <w:t xml:space="preserve">possibilità di </w:t>
      </w:r>
      <w:r w:rsidR="00594E71">
        <w:rPr>
          <w:rFonts w:ascii="Century Gothic" w:hAnsi="Century Gothic" w:cs="Times New Roman"/>
        </w:rPr>
        <w:t>fruizione di lezioni alternative o di uno spazio scolastico sorvegliato;</w:t>
      </w:r>
    </w:p>
    <w:p w:rsidR="00594E71" w:rsidRPr="00771696" w:rsidRDefault="00594E71" w:rsidP="00594E71">
      <w:pPr>
        <w:pStyle w:val="Paragrafoelenco"/>
        <w:rPr>
          <w:rFonts w:ascii="Century Gothic" w:hAnsi="Century Gothic" w:cs="Times New Roman"/>
          <w:sz w:val="16"/>
          <w:szCs w:val="16"/>
        </w:rPr>
      </w:pPr>
    </w:p>
    <w:p w:rsidR="00092AF3" w:rsidRDefault="00092AF3" w:rsidP="00C97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 chiedere altresì che, </w:t>
      </w:r>
      <w:r w:rsidR="00594E71">
        <w:rPr>
          <w:rFonts w:ascii="Century Gothic" w:hAnsi="Century Gothic" w:cs="Times New Roman"/>
        </w:rPr>
        <w:t xml:space="preserve">in caso </w:t>
      </w:r>
      <w:r>
        <w:rPr>
          <w:rFonts w:ascii="Century Gothic" w:hAnsi="Century Gothic" w:cs="Times New Roman"/>
        </w:rPr>
        <w:t>di studenti maggiorenni, sia loro demandata la possibilità di scegliere se partecipare o meno</w:t>
      </w:r>
      <w:r w:rsidR="00771696">
        <w:rPr>
          <w:rFonts w:ascii="Century Gothic" w:hAnsi="Century Gothic" w:cs="Times New Roman"/>
        </w:rPr>
        <w:t xml:space="preserve"> alle dette lezioni.</w:t>
      </w:r>
    </w:p>
    <w:p w:rsidR="00771696" w:rsidRDefault="00771696" w:rsidP="00092AF3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C97E6C" w:rsidRPr="00092AF3" w:rsidRDefault="00092AF3" w:rsidP="00092AF3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Saronno,</w:t>
      </w:r>
      <w:r w:rsidR="00771696">
        <w:rPr>
          <w:rFonts w:ascii="Century Gothic" w:hAnsi="Century Gothic" w:cs="Times New Roman"/>
        </w:rPr>
        <w:t xml:space="preserve"> </w:t>
      </w:r>
      <w:proofErr w:type="spellStart"/>
      <w:r w:rsidR="00771696">
        <w:rPr>
          <w:rFonts w:ascii="Century Gothic" w:hAnsi="Century Gothic" w:cs="Times New Roman"/>
        </w:rPr>
        <w:t>……………………</w:t>
      </w:r>
      <w:proofErr w:type="spellEnd"/>
      <w:r>
        <w:rPr>
          <w:rFonts w:ascii="Century Gothic" w:hAnsi="Century Gothic" w:cs="Times New Roman"/>
        </w:rPr>
        <w:t xml:space="preserve"> </w:t>
      </w:r>
    </w:p>
    <w:p w:rsidR="00834D40" w:rsidRPr="00834D40" w:rsidRDefault="00834D40" w:rsidP="00834D4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C97E6C" w:rsidRDefault="00C97E6C" w:rsidP="00C97E6C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C97E6C" w:rsidRPr="00C97E6C" w:rsidRDefault="00C97E6C" w:rsidP="00C97E6C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B0553C" w:rsidRPr="00B0553C" w:rsidRDefault="00B0553C" w:rsidP="00B0553C">
      <w:pPr>
        <w:pStyle w:val="Paragrafoelenco"/>
        <w:rPr>
          <w:rFonts w:ascii="Century Gothic" w:hAnsi="Century Gothic" w:cs="CourierNew"/>
        </w:rPr>
      </w:pPr>
    </w:p>
    <w:sectPr w:rsidR="00B0553C" w:rsidRPr="00B0553C" w:rsidSect="004B1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59D"/>
    <w:multiLevelType w:val="hybridMultilevel"/>
    <w:tmpl w:val="F0488BDA"/>
    <w:lvl w:ilvl="0" w:tplc="062AC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BD0"/>
    <w:rsid w:val="00035183"/>
    <w:rsid w:val="00092AF3"/>
    <w:rsid w:val="000E7898"/>
    <w:rsid w:val="00185E16"/>
    <w:rsid w:val="001E4086"/>
    <w:rsid w:val="00246588"/>
    <w:rsid w:val="002529C7"/>
    <w:rsid w:val="0029781F"/>
    <w:rsid w:val="002A28D7"/>
    <w:rsid w:val="002F305E"/>
    <w:rsid w:val="00310020"/>
    <w:rsid w:val="00355322"/>
    <w:rsid w:val="00386B62"/>
    <w:rsid w:val="003D519F"/>
    <w:rsid w:val="003D64BA"/>
    <w:rsid w:val="004952FA"/>
    <w:rsid w:val="004B13CA"/>
    <w:rsid w:val="0055275A"/>
    <w:rsid w:val="00594CB3"/>
    <w:rsid w:val="00594E71"/>
    <w:rsid w:val="005C1290"/>
    <w:rsid w:val="005D318B"/>
    <w:rsid w:val="006368E9"/>
    <w:rsid w:val="00655A91"/>
    <w:rsid w:val="006D4B52"/>
    <w:rsid w:val="00711AEA"/>
    <w:rsid w:val="007417A8"/>
    <w:rsid w:val="00771696"/>
    <w:rsid w:val="00785C87"/>
    <w:rsid w:val="00786C4C"/>
    <w:rsid w:val="007F0E90"/>
    <w:rsid w:val="00804889"/>
    <w:rsid w:val="00834D40"/>
    <w:rsid w:val="00881FA4"/>
    <w:rsid w:val="00895C3E"/>
    <w:rsid w:val="00925702"/>
    <w:rsid w:val="00931D5F"/>
    <w:rsid w:val="00972F7B"/>
    <w:rsid w:val="009E1B33"/>
    <w:rsid w:val="009E7488"/>
    <w:rsid w:val="00A01D83"/>
    <w:rsid w:val="00A918EC"/>
    <w:rsid w:val="00AE378F"/>
    <w:rsid w:val="00AE4521"/>
    <w:rsid w:val="00AE7358"/>
    <w:rsid w:val="00B0553C"/>
    <w:rsid w:val="00B713AA"/>
    <w:rsid w:val="00BB4BC8"/>
    <w:rsid w:val="00BD431E"/>
    <w:rsid w:val="00BF46FF"/>
    <w:rsid w:val="00C25BD0"/>
    <w:rsid w:val="00C97E6C"/>
    <w:rsid w:val="00CD7BE6"/>
    <w:rsid w:val="00D44A09"/>
    <w:rsid w:val="00D52AEB"/>
    <w:rsid w:val="00D817EB"/>
    <w:rsid w:val="00D91E0A"/>
    <w:rsid w:val="00DA7547"/>
    <w:rsid w:val="00E45A58"/>
    <w:rsid w:val="00E61D0D"/>
    <w:rsid w:val="00E802C2"/>
    <w:rsid w:val="00F7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898"/>
    <w:pPr>
      <w:ind w:left="720"/>
      <w:contextualSpacing/>
    </w:pPr>
  </w:style>
  <w:style w:type="character" w:customStyle="1" w:styleId="titolo24">
    <w:name w:val="titolo24"/>
    <w:basedOn w:val="Carpredefinitoparagrafo"/>
    <w:rsid w:val="00246588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alfonsoindelicato</dc:creator>
  <cp:keywords/>
  <dc:description/>
  <cp:lastModifiedBy>alfonsoindelicato</cp:lastModifiedBy>
  <cp:revision>28</cp:revision>
  <dcterms:created xsi:type="dcterms:W3CDTF">2015-10-30T10:13:00Z</dcterms:created>
  <dcterms:modified xsi:type="dcterms:W3CDTF">2015-11-18T16:15:00Z</dcterms:modified>
</cp:coreProperties>
</file>